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24BA2656" w:rsidR="00127F87" w:rsidRPr="000A7553" w:rsidRDefault="000B138D" w:rsidP="003E5AFF">
      <w:pPr>
        <w:pStyle w:val="Zhlav"/>
        <w:spacing w:after="120"/>
        <w:jc w:val="center"/>
        <w:rPr>
          <w:b/>
          <w:bCs/>
          <w:color w:val="FF0000"/>
          <w:sz w:val="21"/>
          <w:szCs w:val="21"/>
        </w:rPr>
      </w:pPr>
      <w:r w:rsidRPr="000B138D">
        <w:rPr>
          <w:b/>
          <w:bCs/>
          <w:i/>
          <w:smallCaps/>
          <w:spacing w:val="30"/>
          <w:sz w:val="36"/>
          <w:szCs w:val="36"/>
          <w:lang w:val="cs-CZ" w:eastAsia="cs-CZ"/>
        </w:rPr>
        <w:t xml:space="preserve">II/602 Brno, most 602-000A Jihlavská přes tramvaj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0CF2403B"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0B138D">
        <w:rPr>
          <w:sz w:val="21"/>
          <w:szCs w:val="21"/>
          <w:lang w:val="en-US"/>
        </w:rPr>
        <w:t>602-000A</w:t>
      </w:r>
      <w:r w:rsidR="00101DCF">
        <w:rPr>
          <w:sz w:val="21"/>
          <w:szCs w:val="21"/>
          <w:lang w:val="en-US"/>
        </w:rPr>
        <w:t xml:space="preserve"> na silnici </w:t>
      </w:r>
      <w:r w:rsidR="00F45926">
        <w:rPr>
          <w:sz w:val="21"/>
          <w:szCs w:val="21"/>
          <w:lang w:val="en-US"/>
        </w:rPr>
        <w:t>II/</w:t>
      </w:r>
      <w:r w:rsidR="000B138D">
        <w:rPr>
          <w:sz w:val="21"/>
          <w:szCs w:val="21"/>
          <w:lang w:val="en-US"/>
        </w:rPr>
        <w:t>602</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07D0A325"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 xml:space="preserve">most ev.č. </w:t>
      </w:r>
      <w:r w:rsidR="000B138D">
        <w:rPr>
          <w:sz w:val="21"/>
          <w:szCs w:val="21"/>
          <w:lang w:val="en-US"/>
        </w:rPr>
        <w:t>602-000A</w:t>
      </w:r>
      <w:r w:rsidR="000B138D">
        <w:rPr>
          <w:sz w:val="21"/>
          <w:szCs w:val="21"/>
          <w:lang w:val="en-US"/>
        </w:rPr>
        <w:t>.</w:t>
      </w:r>
      <w:bookmarkStart w:id="0" w:name="_GoBack"/>
      <w:bookmarkEnd w:id="0"/>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0B138D">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0B138D">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0B138D">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0B138D">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0B138D">
              <w:rPr>
                <w:sz w:val="20"/>
              </w:rPr>
            </w:r>
            <w:r w:rsidR="000B138D">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0B138D">
              <w:rPr>
                <w:sz w:val="22"/>
              </w:rPr>
            </w:r>
            <w:r w:rsidR="000B138D">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0B138D">
              <w:rPr>
                <w:sz w:val="22"/>
              </w:rPr>
            </w:r>
            <w:r w:rsidR="000B138D">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3A074C7F"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0B138D">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0B138D">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40920BF1"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0B138D">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0B138D">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3A8E61F4" w:rsidR="00F478DE" w:rsidRPr="00700F92" w:rsidRDefault="000B138D" w:rsidP="005066B6">
          <w:pPr>
            <w:tabs>
              <w:tab w:val="left" w:pos="810"/>
            </w:tabs>
            <w:rPr>
              <w:b/>
              <w:spacing w:val="20"/>
              <w:sz w:val="21"/>
              <w:szCs w:val="21"/>
            </w:rPr>
          </w:pPr>
          <w:r w:rsidRPr="000B138D">
            <w:rPr>
              <w:b/>
              <w:bCs/>
              <w:i/>
              <w:smallCaps/>
              <w:spacing w:val="30"/>
              <w:sz w:val="16"/>
              <w:szCs w:val="16"/>
              <w:lang w:val="en-US"/>
            </w:rPr>
            <w:t>II/602 Brno, most 602-000A Jihlavská přes tramvaj</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6CFE4866" w:rsidR="00FD474E" w:rsidRPr="00FD474E" w:rsidRDefault="000B138D" w:rsidP="00BE7101">
          <w:pPr>
            <w:tabs>
              <w:tab w:val="left" w:pos="810"/>
            </w:tabs>
            <w:rPr>
              <w:b/>
              <w:bCs/>
              <w:i/>
              <w:smallCaps/>
              <w:spacing w:val="30"/>
              <w:sz w:val="16"/>
              <w:szCs w:val="16"/>
              <w:lang w:val="en-US"/>
            </w:rPr>
          </w:pPr>
          <w:r w:rsidRPr="000B138D">
            <w:rPr>
              <w:b/>
              <w:bCs/>
              <w:i/>
              <w:smallCaps/>
              <w:spacing w:val="30"/>
              <w:sz w:val="16"/>
              <w:szCs w:val="16"/>
              <w:lang w:val="en-US"/>
            </w:rPr>
            <w:t>II/602 Brno, most 602-000A Jihlavská přes tramvaj</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138D"/>
    <w:rsid w:val="000B281F"/>
    <w:rsid w:val="000B4D5D"/>
    <w:rsid w:val="000C138C"/>
    <w:rsid w:val="000D421D"/>
    <w:rsid w:val="000D4DF1"/>
    <w:rsid w:val="000E14D9"/>
    <w:rsid w:val="000E2AC2"/>
    <w:rsid w:val="000E3C34"/>
    <w:rsid w:val="000F3330"/>
    <w:rsid w:val="000F5B7F"/>
    <w:rsid w:val="00100755"/>
    <w:rsid w:val="00101DCF"/>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B71BB"/>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A60CA"/>
    <w:rsid w:val="00CB582F"/>
    <w:rsid w:val="00CB76C1"/>
    <w:rsid w:val="00CB7EB7"/>
    <w:rsid w:val="00CD0BF2"/>
    <w:rsid w:val="00CD2289"/>
    <w:rsid w:val="00D13478"/>
    <w:rsid w:val="00D21732"/>
    <w:rsid w:val="00D31775"/>
    <w:rsid w:val="00D47FA9"/>
    <w:rsid w:val="00D51CF6"/>
    <w:rsid w:val="00D6489A"/>
    <w:rsid w:val="00D67DF5"/>
    <w:rsid w:val="00D8342B"/>
    <w:rsid w:val="00D96D28"/>
    <w:rsid w:val="00D96EE7"/>
    <w:rsid w:val="00DA5C5C"/>
    <w:rsid w:val="00DC004B"/>
    <w:rsid w:val="00DC51D7"/>
    <w:rsid w:val="00DC735D"/>
    <w:rsid w:val="00DD31D4"/>
    <w:rsid w:val="00DD6CF6"/>
    <w:rsid w:val="00DD738B"/>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5926"/>
    <w:rsid w:val="00F46ECB"/>
    <w:rsid w:val="00F478DE"/>
    <w:rsid w:val="00F54B3E"/>
    <w:rsid w:val="00F54DFA"/>
    <w:rsid w:val="00F70350"/>
    <w:rsid w:val="00F7113B"/>
    <w:rsid w:val="00F857FC"/>
    <w:rsid w:val="00F85C1A"/>
    <w:rsid w:val="00FA1ECD"/>
    <w:rsid w:val="00FA3871"/>
    <w:rsid w:val="00FB017E"/>
    <w:rsid w:val="00FC3114"/>
    <w:rsid w:val="00FC3727"/>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D0B351-689F-46A2-8D24-BCC70E8B1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14</Pages>
  <Words>4546</Words>
  <Characters>26825</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26</cp:revision>
  <cp:lastPrinted>2023-06-14T10:46:00Z</cp:lastPrinted>
  <dcterms:created xsi:type="dcterms:W3CDTF">2023-01-20T06:55:00Z</dcterms:created>
  <dcterms:modified xsi:type="dcterms:W3CDTF">2023-06-19T10:40:00Z</dcterms:modified>
</cp:coreProperties>
</file>